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196E" w14:textId="5D049CF3" w:rsidR="00C96B7D" w:rsidRDefault="00C96B7D" w:rsidP="00C96B7D">
      <w:pPr>
        <w:jc w:val="right"/>
        <w:rPr>
          <w:rFonts w:ascii="Palatino Linotype" w:hAnsi="Palatino Linotype"/>
          <w:b/>
        </w:rPr>
      </w:pPr>
      <w:r>
        <w:rPr>
          <w:rFonts w:ascii="Palatino Linotype" w:hAnsi="Palatino Linotype"/>
          <w:b/>
        </w:rPr>
        <w:t>Lisa 5</w:t>
      </w:r>
    </w:p>
    <w:p w14:paraId="18C10EA4" w14:textId="4F7FE723" w:rsidR="00F62D25" w:rsidRPr="00F62D25" w:rsidRDefault="00F62D25" w:rsidP="00F62D25">
      <w:pPr>
        <w:rPr>
          <w:rFonts w:ascii="Palatino Linotype" w:hAnsi="Palatino Linotype"/>
          <w:b/>
        </w:rPr>
      </w:pPr>
      <w:r w:rsidRPr="00F62D25">
        <w:rPr>
          <w:rFonts w:ascii="Palatino Linotype" w:hAnsi="Palatino Linotype"/>
          <w:b/>
        </w:rPr>
        <w:t>Hindamiskriteeriumid ja hindamismetoodika</w:t>
      </w:r>
    </w:p>
    <w:p w14:paraId="415B57E2" w14:textId="6F6AB176" w:rsidR="00F62D25" w:rsidRPr="00F62D25" w:rsidRDefault="00F62D25" w:rsidP="00F62D25">
      <w:pPr>
        <w:rPr>
          <w:rFonts w:ascii="Palatino Linotype" w:hAnsi="Palatino Linotype"/>
        </w:rPr>
      </w:pPr>
      <w:r>
        <w:rPr>
          <w:rFonts w:ascii="Palatino Linotype" w:hAnsi="Palatino Linotype"/>
        </w:rPr>
        <w:t xml:space="preserve">1. </w:t>
      </w:r>
      <w:r w:rsidRPr="00F62D25">
        <w:rPr>
          <w:rFonts w:ascii="Palatino Linotype" w:hAnsi="Palatino Linotype"/>
        </w:rPr>
        <w:t>Hankija võrdleb ja hindab kõiki vastavaks tunnistatud pakkumusi hindamiskriteeriumide alusel. Pakkumuste hindamiskriteeriumid 100 väärtuspunkti skaalal on järgnevad:</w:t>
      </w:r>
    </w:p>
    <w:tbl>
      <w:tblPr>
        <w:tblStyle w:val="Kontuurtabel"/>
        <w:tblW w:w="0" w:type="auto"/>
        <w:tblInd w:w="85" w:type="dxa"/>
        <w:tblLook w:val="04A0" w:firstRow="1" w:lastRow="0" w:firstColumn="1" w:lastColumn="0" w:noHBand="0" w:noVBand="1"/>
      </w:tblPr>
      <w:tblGrid>
        <w:gridCol w:w="6998"/>
        <w:gridCol w:w="1979"/>
      </w:tblGrid>
      <w:tr w:rsidR="00F62D25" w:rsidRPr="00F62D25" w14:paraId="74A15EE1" w14:textId="77777777" w:rsidTr="009032BE">
        <w:tc>
          <w:tcPr>
            <w:tcW w:w="6998" w:type="dxa"/>
          </w:tcPr>
          <w:p w14:paraId="68475CAE" w14:textId="77777777" w:rsidR="00F62D25" w:rsidRPr="00F62D25" w:rsidRDefault="00F62D25" w:rsidP="00F62D25">
            <w:pPr>
              <w:spacing w:after="160" w:line="259" w:lineRule="auto"/>
              <w:rPr>
                <w:rFonts w:ascii="Palatino Linotype" w:hAnsi="Palatino Linotype"/>
              </w:rPr>
            </w:pPr>
            <w:r w:rsidRPr="00F62D25">
              <w:rPr>
                <w:rFonts w:ascii="Palatino Linotype" w:hAnsi="Palatino Linotype"/>
                <w:b/>
                <w:bCs/>
              </w:rPr>
              <w:t>Kriteerium</w:t>
            </w:r>
          </w:p>
        </w:tc>
        <w:tc>
          <w:tcPr>
            <w:tcW w:w="1979" w:type="dxa"/>
          </w:tcPr>
          <w:p w14:paraId="14BB686A" w14:textId="77777777" w:rsidR="00F62D25" w:rsidRPr="00F62D25" w:rsidRDefault="00F62D25" w:rsidP="00F62D25">
            <w:pPr>
              <w:spacing w:after="160" w:line="259" w:lineRule="auto"/>
              <w:rPr>
                <w:rFonts w:ascii="Palatino Linotype" w:hAnsi="Palatino Linotype"/>
              </w:rPr>
            </w:pPr>
            <w:r w:rsidRPr="00F62D25">
              <w:rPr>
                <w:rFonts w:ascii="Palatino Linotype" w:hAnsi="Palatino Linotype"/>
                <w:b/>
                <w:bCs/>
              </w:rPr>
              <w:t>Maksimaalsed väärtuspunktid</w:t>
            </w:r>
          </w:p>
        </w:tc>
      </w:tr>
      <w:tr w:rsidR="00F62D25" w:rsidRPr="00F62D25" w14:paraId="1D0E73C6" w14:textId="77777777" w:rsidTr="009032BE">
        <w:tc>
          <w:tcPr>
            <w:tcW w:w="6998" w:type="dxa"/>
          </w:tcPr>
          <w:p w14:paraId="6DC1DCAA" w14:textId="5F7B72D9" w:rsidR="00F62D25" w:rsidRPr="00F62D25" w:rsidRDefault="00B13D2A" w:rsidP="00F62D25">
            <w:pPr>
              <w:spacing w:after="160" w:line="259" w:lineRule="auto"/>
              <w:rPr>
                <w:rFonts w:ascii="Palatino Linotype" w:hAnsi="Palatino Linotype"/>
              </w:rPr>
            </w:pPr>
            <w:r w:rsidRPr="00B13D2A">
              <w:rPr>
                <w:rFonts w:ascii="Palatino Linotype" w:hAnsi="Palatino Linotype"/>
              </w:rPr>
              <w:t>Konsultatsiooniteenuse maksumus</w:t>
            </w:r>
          </w:p>
        </w:tc>
        <w:tc>
          <w:tcPr>
            <w:tcW w:w="1979" w:type="dxa"/>
          </w:tcPr>
          <w:p w14:paraId="413B5A92" w14:textId="233414A1" w:rsidR="00F62D25" w:rsidRPr="00F62D25" w:rsidRDefault="00F62D25" w:rsidP="00F62D25">
            <w:pPr>
              <w:spacing w:after="160" w:line="259" w:lineRule="auto"/>
              <w:rPr>
                <w:rFonts w:ascii="Palatino Linotype" w:hAnsi="Palatino Linotype"/>
              </w:rPr>
            </w:pPr>
            <w:r>
              <w:rPr>
                <w:rFonts w:ascii="Palatino Linotype" w:hAnsi="Palatino Linotype"/>
              </w:rPr>
              <w:t>50</w:t>
            </w:r>
          </w:p>
        </w:tc>
      </w:tr>
      <w:tr w:rsidR="00F62D25" w:rsidRPr="00F62D25" w14:paraId="0C6D9A50" w14:textId="77777777" w:rsidTr="00D433F4">
        <w:trPr>
          <w:trHeight w:val="377"/>
        </w:trPr>
        <w:tc>
          <w:tcPr>
            <w:tcW w:w="6998" w:type="dxa"/>
          </w:tcPr>
          <w:p w14:paraId="2D571F57" w14:textId="77777777" w:rsidR="00F62D25" w:rsidRPr="00F62D25" w:rsidRDefault="00F62D25" w:rsidP="00F62D25">
            <w:pPr>
              <w:spacing w:line="259" w:lineRule="auto"/>
              <w:rPr>
                <w:rFonts w:ascii="Palatino Linotype" w:hAnsi="Palatino Linotype"/>
              </w:rPr>
            </w:pPr>
            <w:r w:rsidRPr="00F62D25">
              <w:rPr>
                <w:rFonts w:ascii="Palatino Linotype" w:hAnsi="Palatino Linotype"/>
              </w:rPr>
              <w:t>Teenuse kvaliteet, mis sisaldab:</w:t>
            </w:r>
          </w:p>
          <w:p w14:paraId="44AA0A93" w14:textId="276BF6D0" w:rsidR="00F62D25" w:rsidRPr="00F62D25" w:rsidRDefault="00F62D25" w:rsidP="00F62D25">
            <w:pPr>
              <w:numPr>
                <w:ilvl w:val="0"/>
                <w:numId w:val="2"/>
              </w:numPr>
              <w:spacing w:line="259" w:lineRule="auto"/>
              <w:rPr>
                <w:rFonts w:ascii="Palatino Linotype" w:hAnsi="Palatino Linotype"/>
              </w:rPr>
            </w:pPr>
            <w:r w:rsidRPr="00F62D25">
              <w:rPr>
                <w:rFonts w:ascii="Palatino Linotype" w:hAnsi="Palatino Linotype"/>
              </w:rPr>
              <w:t>valitava metoodika kirjeldus</w:t>
            </w:r>
            <w:r>
              <w:rPr>
                <w:rFonts w:ascii="Palatino Linotype" w:hAnsi="Palatino Linotype"/>
              </w:rPr>
              <w:t>t</w:t>
            </w:r>
            <w:r w:rsidR="009032BE">
              <w:rPr>
                <w:rFonts w:ascii="Palatino Linotype" w:hAnsi="Palatino Linotype"/>
              </w:rPr>
              <w:t>.</w:t>
            </w:r>
          </w:p>
        </w:tc>
        <w:tc>
          <w:tcPr>
            <w:tcW w:w="1979" w:type="dxa"/>
          </w:tcPr>
          <w:p w14:paraId="4A647F1F" w14:textId="5EA34665" w:rsidR="00F62D25" w:rsidRPr="00F62D25" w:rsidRDefault="00F62D25" w:rsidP="00F62D25">
            <w:pPr>
              <w:spacing w:after="160" w:line="259" w:lineRule="auto"/>
              <w:rPr>
                <w:rFonts w:ascii="Palatino Linotype" w:hAnsi="Palatino Linotype"/>
              </w:rPr>
            </w:pPr>
            <w:r>
              <w:rPr>
                <w:rFonts w:ascii="Palatino Linotype" w:hAnsi="Palatino Linotype"/>
              </w:rPr>
              <w:t>50</w:t>
            </w:r>
          </w:p>
        </w:tc>
      </w:tr>
      <w:tr w:rsidR="00F62D25" w:rsidRPr="00F62D25" w14:paraId="37632105" w14:textId="77777777" w:rsidTr="009032BE">
        <w:tc>
          <w:tcPr>
            <w:tcW w:w="6998" w:type="dxa"/>
          </w:tcPr>
          <w:p w14:paraId="63C59E91" w14:textId="77777777" w:rsidR="00F62D25" w:rsidRPr="00F62D25" w:rsidRDefault="00F62D25" w:rsidP="00F62D25">
            <w:pPr>
              <w:spacing w:after="160" w:line="259" w:lineRule="auto"/>
              <w:rPr>
                <w:rFonts w:ascii="Palatino Linotype" w:hAnsi="Palatino Linotype"/>
              </w:rPr>
            </w:pPr>
            <w:r w:rsidRPr="00F62D25">
              <w:rPr>
                <w:rFonts w:ascii="Palatino Linotype" w:hAnsi="Palatino Linotype"/>
              </w:rPr>
              <w:t>KOKKU</w:t>
            </w:r>
          </w:p>
        </w:tc>
        <w:tc>
          <w:tcPr>
            <w:tcW w:w="1979" w:type="dxa"/>
          </w:tcPr>
          <w:p w14:paraId="2F6100A9" w14:textId="77777777" w:rsidR="00F62D25" w:rsidRPr="00F62D25" w:rsidRDefault="00F62D25" w:rsidP="00F62D25">
            <w:pPr>
              <w:spacing w:after="160" w:line="259" w:lineRule="auto"/>
              <w:rPr>
                <w:rFonts w:ascii="Palatino Linotype" w:hAnsi="Palatino Linotype"/>
              </w:rPr>
            </w:pPr>
            <w:r w:rsidRPr="00F62D25">
              <w:rPr>
                <w:rFonts w:ascii="Palatino Linotype" w:hAnsi="Palatino Linotype"/>
              </w:rPr>
              <w:t>100</w:t>
            </w:r>
          </w:p>
        </w:tc>
      </w:tr>
    </w:tbl>
    <w:p w14:paraId="70F69D8C" w14:textId="6287F190" w:rsidR="00F62D25" w:rsidRPr="00F62D25" w:rsidRDefault="00F62D25" w:rsidP="00F62D25">
      <w:pPr>
        <w:rPr>
          <w:rFonts w:ascii="Palatino Linotype" w:hAnsi="Palatino Linotype"/>
        </w:rPr>
      </w:pPr>
      <w:r>
        <w:rPr>
          <w:rFonts w:ascii="Palatino Linotype" w:hAnsi="Palatino Linotype"/>
        </w:rPr>
        <w:t xml:space="preserve">2. </w:t>
      </w:r>
      <w:r w:rsidRPr="00F62D25">
        <w:rPr>
          <w:rFonts w:ascii="Palatino Linotype" w:hAnsi="Palatino Linotype"/>
        </w:rPr>
        <w:t>Eduka pakkumuse valiku aluseks on majanduslik soodsus (parim hinna ja kvaliteedi suhe), mis selgitatakse välja väärtuspunktide omistamise meetodil hindamiskriteeriumide alusel. Pakkumusele antud väärtuspunktid summeeritakse. Väärtuspunkte omistatakse täpsusega kaks kohta pärast koma.</w:t>
      </w:r>
    </w:p>
    <w:p w14:paraId="53ECFFFA" w14:textId="77777777" w:rsidR="00F62D25" w:rsidRDefault="00F62D25" w:rsidP="00F62D25">
      <w:pPr>
        <w:rPr>
          <w:rFonts w:ascii="Palatino Linotype" w:hAnsi="Palatino Linotype"/>
        </w:rPr>
      </w:pPr>
      <w:r w:rsidRPr="00F62D25">
        <w:rPr>
          <w:rFonts w:ascii="Palatino Linotype" w:hAnsi="Palatino Linotype"/>
        </w:rPr>
        <w:t xml:space="preserve">Hankija tunnistab edukaks enim väärtuspunkte saanud pakkumuse. Võrdsete väärtuspunktidega pakkumuste korral tunnistatakse edukaks pakkumus, millele on omistatud </w:t>
      </w:r>
      <w:r w:rsidRPr="00F62D25">
        <w:rPr>
          <w:rFonts w:ascii="Palatino Linotype" w:hAnsi="Palatino Linotype"/>
          <w:bCs/>
        </w:rPr>
        <w:t>„Valitava metoodika kirjeldus“ k</w:t>
      </w:r>
      <w:r w:rsidRPr="00F62D25">
        <w:rPr>
          <w:rFonts w:ascii="Palatino Linotype" w:hAnsi="Palatino Linotype"/>
        </w:rPr>
        <w:t>riteeriumi eest suurim arv väärtuspunkte</w:t>
      </w:r>
      <w:r>
        <w:rPr>
          <w:rFonts w:ascii="Palatino Linotype" w:hAnsi="Palatino Linotype"/>
        </w:rPr>
        <w:t>.</w:t>
      </w:r>
    </w:p>
    <w:p w14:paraId="1EF2319C" w14:textId="2DB3D44E" w:rsidR="00F62D25" w:rsidRPr="00F62D25" w:rsidRDefault="00F62D25" w:rsidP="00F62D25">
      <w:pPr>
        <w:rPr>
          <w:rFonts w:ascii="Palatino Linotype" w:hAnsi="Palatino Linotype"/>
        </w:rPr>
      </w:pPr>
      <w:r w:rsidRPr="00F62D25">
        <w:rPr>
          <w:rFonts w:ascii="Palatino Linotype" w:hAnsi="Palatino Linotype"/>
        </w:rPr>
        <w:t xml:space="preserve">Madalaima maksumusega pakkumus saab maksimaalse arvu väärtuspunkte, järgmised pakkumused saavad väärtuspunkte proportsionaalselt vähem. Järgmiste pakkumuste punktisummad arvutatakse valemiga: </w:t>
      </w:r>
      <w:r w:rsidRPr="00F62D25">
        <w:rPr>
          <w:rFonts w:ascii="Palatino Linotype" w:hAnsi="Palatino Linotype"/>
          <w:b/>
          <w:bCs/>
        </w:rPr>
        <w:t xml:space="preserve">madalaim väärtus : (jagatud) pakkumuse väärtus x (korda) kriteeriumi osakaal. </w:t>
      </w:r>
      <w:r w:rsidRPr="00F62D25">
        <w:rPr>
          <w:rFonts w:ascii="Palatino Linotype" w:hAnsi="Palatino Linotype"/>
        </w:rPr>
        <w:t>Tulemus ümardatakse täpsusega kaks kohta pärast koma.</w:t>
      </w:r>
    </w:p>
    <w:tbl>
      <w:tblPr>
        <w:tblStyle w:val="Kontuurtabel"/>
        <w:tblW w:w="0" w:type="auto"/>
        <w:tblLayout w:type="fixed"/>
        <w:tblLook w:val="04A0" w:firstRow="1" w:lastRow="0" w:firstColumn="1" w:lastColumn="0" w:noHBand="0" w:noVBand="1"/>
      </w:tblPr>
      <w:tblGrid>
        <w:gridCol w:w="7792"/>
        <w:gridCol w:w="1270"/>
      </w:tblGrid>
      <w:tr w:rsidR="00F62D25" w:rsidRPr="00F62D25" w14:paraId="0858957A" w14:textId="77777777" w:rsidTr="00B962AD">
        <w:tc>
          <w:tcPr>
            <w:tcW w:w="7792" w:type="dxa"/>
          </w:tcPr>
          <w:p w14:paraId="7BB4BDE3" w14:textId="5E2ED48D" w:rsidR="00F62D25" w:rsidRPr="00F62D25" w:rsidRDefault="00F62D25" w:rsidP="00F62D25">
            <w:pPr>
              <w:spacing w:after="160" w:line="259" w:lineRule="auto"/>
              <w:rPr>
                <w:rFonts w:ascii="Palatino Linotype" w:hAnsi="Palatino Linotype"/>
                <w:b/>
              </w:rPr>
            </w:pPr>
            <w:r w:rsidRPr="00F62D25">
              <w:rPr>
                <w:rFonts w:ascii="Palatino Linotype" w:hAnsi="Palatino Linotype"/>
                <w:b/>
                <w:bCs/>
              </w:rPr>
              <w:t>Valitava metoodika kirjeldus.</w:t>
            </w:r>
            <w:r w:rsidRPr="00F62D25">
              <w:rPr>
                <w:rFonts w:ascii="Palatino Linotype" w:hAnsi="Palatino Linotype"/>
                <w:b/>
              </w:rPr>
              <w:t xml:space="preserve"> </w:t>
            </w:r>
            <w:r w:rsidRPr="00F62D25">
              <w:rPr>
                <w:rFonts w:ascii="Palatino Linotype" w:hAnsi="Palatino Linotype"/>
                <w:b/>
                <w:bCs/>
              </w:rPr>
              <w:t>Hinnang, kuidas valitud metoodikaga on püstitatud eesmärk saavutatav – maksimaalselt 25 punkti</w:t>
            </w:r>
          </w:p>
        </w:tc>
        <w:tc>
          <w:tcPr>
            <w:tcW w:w="1270" w:type="dxa"/>
          </w:tcPr>
          <w:p w14:paraId="5FE5A785" w14:textId="77777777" w:rsidR="00F62D25" w:rsidRPr="00F62D25" w:rsidRDefault="00F62D25" w:rsidP="00F62D25">
            <w:pPr>
              <w:spacing w:after="160" w:line="259" w:lineRule="auto"/>
              <w:rPr>
                <w:rFonts w:ascii="Palatino Linotype" w:hAnsi="Palatino Linotype"/>
                <w:b/>
              </w:rPr>
            </w:pPr>
            <w:r w:rsidRPr="00F62D25">
              <w:rPr>
                <w:rFonts w:ascii="Palatino Linotype" w:hAnsi="Palatino Linotype"/>
                <w:b/>
              </w:rPr>
              <w:t>Väärtus-punktide arv</w:t>
            </w:r>
          </w:p>
        </w:tc>
      </w:tr>
      <w:tr w:rsidR="00F62D25" w:rsidRPr="00F62D25" w14:paraId="7FF3A42F" w14:textId="77777777" w:rsidTr="00B962AD">
        <w:tc>
          <w:tcPr>
            <w:tcW w:w="7792" w:type="dxa"/>
          </w:tcPr>
          <w:p w14:paraId="4A5E3840" w14:textId="1F113844" w:rsidR="00F62D25" w:rsidRPr="00F62D25" w:rsidRDefault="00F62D25" w:rsidP="00F62D25">
            <w:pPr>
              <w:spacing w:after="160" w:line="259" w:lineRule="auto"/>
              <w:rPr>
                <w:rFonts w:ascii="Palatino Linotype" w:hAnsi="Palatino Linotype"/>
              </w:rPr>
            </w:pPr>
            <w:r w:rsidRPr="00F62D25">
              <w:rPr>
                <w:rFonts w:ascii="Palatino Linotype" w:hAnsi="Palatino Linotype"/>
              </w:rPr>
              <w:t xml:space="preserve">SUUREPÄRANE: Töö metoodika ja nendest tulenevad tegevused on kirjeldatud detailselt ja arusaadavalt ning kirjeldatu ületab hankija ootuseid. Pakkumuses on väga põhjalikult lahti kirjeldatud töö metoodiline lähenemine, sh on välja toodud: 1) Töö koostamise peamised põhimõtted ja meetodid; 2) </w:t>
            </w:r>
            <w:r w:rsidRPr="00F62D25">
              <w:rPr>
                <w:rFonts w:ascii="Palatino Linotype" w:hAnsi="Palatino Linotype"/>
                <w:iCs/>
              </w:rPr>
              <w:t>Kirjeldus, kuidas toimub kommunikatsioon ja huvigruppide kaasamine, millistest põhimõtetest kommunikatsioonis ning kaasamisel lähtutakse.</w:t>
            </w:r>
          </w:p>
        </w:tc>
        <w:tc>
          <w:tcPr>
            <w:tcW w:w="1270" w:type="dxa"/>
          </w:tcPr>
          <w:p w14:paraId="1BA0B95B" w14:textId="77777777" w:rsidR="00F62D25" w:rsidRPr="00F62D25" w:rsidRDefault="00F62D25" w:rsidP="00F62D25">
            <w:pPr>
              <w:spacing w:after="160" w:line="259" w:lineRule="auto"/>
              <w:rPr>
                <w:rFonts w:ascii="Palatino Linotype" w:hAnsi="Palatino Linotype"/>
              </w:rPr>
            </w:pPr>
            <w:r w:rsidRPr="00F62D25">
              <w:rPr>
                <w:rFonts w:ascii="Palatino Linotype" w:hAnsi="Palatino Linotype"/>
              </w:rPr>
              <w:t>25</w:t>
            </w:r>
          </w:p>
        </w:tc>
      </w:tr>
      <w:tr w:rsidR="00F62D25" w:rsidRPr="00F62D25" w14:paraId="13E88AD7" w14:textId="77777777" w:rsidTr="00B962AD">
        <w:tc>
          <w:tcPr>
            <w:tcW w:w="7792" w:type="dxa"/>
          </w:tcPr>
          <w:p w14:paraId="1AC6568C" w14:textId="72A85CEB" w:rsidR="00F62D25" w:rsidRPr="00F62D25" w:rsidRDefault="00F62D25" w:rsidP="00F62D25">
            <w:pPr>
              <w:spacing w:after="160" w:line="259" w:lineRule="auto"/>
              <w:rPr>
                <w:rFonts w:ascii="Palatino Linotype" w:hAnsi="Palatino Linotype"/>
              </w:rPr>
            </w:pPr>
            <w:r w:rsidRPr="00F62D25">
              <w:rPr>
                <w:rFonts w:ascii="Palatino Linotype" w:hAnsi="Palatino Linotype"/>
              </w:rPr>
              <w:t xml:space="preserve">VÄGA HEA: Töö metoodika ja nendest tulenevad tegevused on kirjeldatud heal tasemel ja arusaadavalt ning kirjeldatu vastab hankija ootustele. Pakkumuses on heal tasemel lahti kirjeldatud töö metoodiline lähenemine, sh </w:t>
            </w:r>
            <w:r w:rsidRPr="00F62D25">
              <w:rPr>
                <w:rFonts w:ascii="Palatino Linotype" w:hAnsi="Palatino Linotype"/>
              </w:rPr>
              <w:lastRenderedPageBreak/>
              <w:t xml:space="preserve">on välja toodud: 1) Töö koostamise peamised põhimõtted ja meetodid; 2) </w:t>
            </w:r>
            <w:r w:rsidRPr="00F62D25">
              <w:rPr>
                <w:rFonts w:ascii="Palatino Linotype" w:hAnsi="Palatino Linotype"/>
                <w:iCs/>
              </w:rPr>
              <w:t>Kirjeldus, kuidas toimub kommunikatsioon ja huvigruppide kaasamine, millistest põhimõtetest kommunikatsioonis ning kaasamisel lähtutakse.</w:t>
            </w:r>
          </w:p>
        </w:tc>
        <w:tc>
          <w:tcPr>
            <w:tcW w:w="1270" w:type="dxa"/>
          </w:tcPr>
          <w:p w14:paraId="45F2EFDB" w14:textId="77777777" w:rsidR="00F62D25" w:rsidRPr="00F62D25" w:rsidRDefault="00F62D25" w:rsidP="00F62D25">
            <w:pPr>
              <w:spacing w:after="160" w:line="259" w:lineRule="auto"/>
              <w:rPr>
                <w:rFonts w:ascii="Palatino Linotype" w:hAnsi="Palatino Linotype"/>
              </w:rPr>
            </w:pPr>
            <w:r w:rsidRPr="00F62D25">
              <w:rPr>
                <w:rFonts w:ascii="Palatino Linotype" w:hAnsi="Palatino Linotype"/>
              </w:rPr>
              <w:lastRenderedPageBreak/>
              <w:t>20</w:t>
            </w:r>
          </w:p>
        </w:tc>
      </w:tr>
      <w:tr w:rsidR="00F62D25" w:rsidRPr="00F62D25" w14:paraId="480A3139" w14:textId="77777777" w:rsidTr="00B962AD">
        <w:tc>
          <w:tcPr>
            <w:tcW w:w="7792" w:type="dxa"/>
          </w:tcPr>
          <w:p w14:paraId="6A73C2CF" w14:textId="04B8C928" w:rsidR="00F62D25" w:rsidRPr="00F62D25" w:rsidRDefault="00F62D25" w:rsidP="00F62D25">
            <w:pPr>
              <w:spacing w:after="160" w:line="259" w:lineRule="auto"/>
              <w:rPr>
                <w:rFonts w:ascii="Palatino Linotype" w:hAnsi="Palatino Linotype"/>
              </w:rPr>
            </w:pPr>
            <w:r w:rsidRPr="00F62D25">
              <w:rPr>
                <w:rFonts w:ascii="Palatino Linotype" w:hAnsi="Palatino Linotype"/>
              </w:rPr>
              <w:t xml:space="preserve">HEA: Töö metoodika ja nendest tulenevad tegevused on kirjeldatud piisavalt ja arusaadavalt ning kirjeldatu vastab üldjoontes hankija ootustele, kuid pisidetailide osas esinevad üksikud mittepõhimõttelised puudujäägid või ebatäpsused, mis ei takista töö eesmärkide täitmist. Pakkumuses on piisavalt lahti kirjeldatud töö metoodiline lähenemine, sh on välja toodud: 1) Töö koostamise peamised põhimõtted ja meetodid; 2) </w:t>
            </w:r>
            <w:r w:rsidRPr="00F62D25">
              <w:rPr>
                <w:rFonts w:ascii="Palatino Linotype" w:hAnsi="Palatino Linotype"/>
                <w:iCs/>
              </w:rPr>
              <w:t>Kirjeldus, kuidas toimub kommunikatsioon ja huvigruppide kaasamine, millistest põhimõtetest kommunikatsioonis ning kaasamisel lähtutakse.</w:t>
            </w:r>
          </w:p>
        </w:tc>
        <w:tc>
          <w:tcPr>
            <w:tcW w:w="1270" w:type="dxa"/>
          </w:tcPr>
          <w:p w14:paraId="76056540" w14:textId="77777777" w:rsidR="00F62D25" w:rsidRPr="00F62D25" w:rsidRDefault="00F62D25" w:rsidP="00F62D25">
            <w:pPr>
              <w:spacing w:after="160" w:line="259" w:lineRule="auto"/>
              <w:rPr>
                <w:rFonts w:ascii="Palatino Linotype" w:hAnsi="Palatino Linotype"/>
              </w:rPr>
            </w:pPr>
            <w:r w:rsidRPr="00F62D25">
              <w:rPr>
                <w:rFonts w:ascii="Palatino Linotype" w:hAnsi="Palatino Linotype"/>
              </w:rPr>
              <w:t>15</w:t>
            </w:r>
          </w:p>
        </w:tc>
      </w:tr>
      <w:tr w:rsidR="00F62D25" w:rsidRPr="00F62D25" w14:paraId="38E7A537" w14:textId="77777777" w:rsidTr="00B962AD">
        <w:tc>
          <w:tcPr>
            <w:tcW w:w="7792" w:type="dxa"/>
          </w:tcPr>
          <w:p w14:paraId="46AFB9B8" w14:textId="3C571AB0" w:rsidR="00F62D25" w:rsidRPr="00F62D25" w:rsidRDefault="00F62D25" w:rsidP="00F62D25">
            <w:pPr>
              <w:spacing w:after="160" w:line="259" w:lineRule="auto"/>
              <w:rPr>
                <w:rFonts w:ascii="Palatino Linotype" w:hAnsi="Palatino Linotype"/>
              </w:rPr>
            </w:pPr>
            <w:r w:rsidRPr="00F62D25">
              <w:rPr>
                <w:rFonts w:ascii="Palatino Linotype" w:hAnsi="Palatino Linotype"/>
              </w:rPr>
              <w:t xml:space="preserve">RAHULDAV: Töö meetodid ja nendest tulenevad tegevused on kirjeldatud üldises plaanis sobivalt, kuid esineb puudujääke. Pakkumuses ei ole piisavalt lahti kirjeldatud töö metoodiline lähenemine, sh pole piisavalt välja toodud: 1) Töö koostamise peamised põhimõtted ja meetodid; 2) </w:t>
            </w:r>
            <w:r w:rsidRPr="00F62D25">
              <w:rPr>
                <w:rFonts w:ascii="Palatino Linotype" w:hAnsi="Palatino Linotype"/>
                <w:iCs/>
              </w:rPr>
              <w:t>Kirjeldus, kuidas toimub kommunikatsioon ja huvigruppide kaasamine, millistest põhimõtetest kommunikatsioonis ning kaasamisel lähtutakse.</w:t>
            </w:r>
          </w:p>
        </w:tc>
        <w:tc>
          <w:tcPr>
            <w:tcW w:w="1270" w:type="dxa"/>
          </w:tcPr>
          <w:p w14:paraId="5E7490E6" w14:textId="77777777" w:rsidR="00F62D25" w:rsidRPr="00F62D25" w:rsidRDefault="00F62D25" w:rsidP="00F62D25">
            <w:pPr>
              <w:spacing w:after="160" w:line="259" w:lineRule="auto"/>
              <w:rPr>
                <w:rFonts w:ascii="Palatino Linotype" w:hAnsi="Palatino Linotype"/>
              </w:rPr>
            </w:pPr>
            <w:r w:rsidRPr="00F62D25">
              <w:rPr>
                <w:rFonts w:ascii="Palatino Linotype" w:hAnsi="Palatino Linotype"/>
              </w:rPr>
              <w:t>10</w:t>
            </w:r>
          </w:p>
        </w:tc>
      </w:tr>
      <w:tr w:rsidR="00F62D25" w:rsidRPr="00F62D25" w14:paraId="70899CF9" w14:textId="77777777" w:rsidTr="00B962AD">
        <w:tc>
          <w:tcPr>
            <w:tcW w:w="7792" w:type="dxa"/>
          </w:tcPr>
          <w:p w14:paraId="613BEE99" w14:textId="4088F2CC" w:rsidR="00F62D25" w:rsidRPr="00F62D25" w:rsidRDefault="00F62D25" w:rsidP="00F62D25">
            <w:pPr>
              <w:spacing w:after="160" w:line="259" w:lineRule="auto"/>
              <w:rPr>
                <w:rFonts w:ascii="Palatino Linotype" w:hAnsi="Palatino Linotype"/>
              </w:rPr>
            </w:pPr>
            <w:r w:rsidRPr="00F62D25">
              <w:rPr>
                <w:rFonts w:ascii="Palatino Linotype" w:hAnsi="Palatino Linotype"/>
              </w:rPr>
              <w:t xml:space="preserve">VÄHENE: Töö metoodika kirjelduses esineb hulgaliselt olulisi puudujääke. Näiteks pakkumuses on toodud hankija jaoks ebasobiv töö metoodiline lähenemine, esineb vähene arusaadavus pakutud töö metoodikast, pole esitatud olulist nõutavat informatsiooni, seotult: 1) Töö koostamise peamiste põhimõtete ja meetoditega; 2) </w:t>
            </w:r>
            <w:r w:rsidRPr="00F62D25">
              <w:rPr>
                <w:rFonts w:ascii="Palatino Linotype" w:hAnsi="Palatino Linotype"/>
                <w:iCs/>
              </w:rPr>
              <w:t>Kirjeldusega, kuidas toimub kommunikatsioon ja huvigruppide kaasamine, millistest põhimõtetest kommunikatsioonis ning kaasamisel lähtutakse.</w:t>
            </w:r>
            <w:r w:rsidRPr="00F62D25">
              <w:rPr>
                <w:rFonts w:ascii="Palatino Linotype" w:hAnsi="Palatino Linotype"/>
              </w:rPr>
              <w:t xml:space="preserve"> Hankijal tekkis pakkumuses esitatud töö metoodika kirjelduse osas mitmeid küsimusi ja kahtlus, kas valitud metoodikaga on võimalik töö eesmärke täita.</w:t>
            </w:r>
          </w:p>
        </w:tc>
        <w:tc>
          <w:tcPr>
            <w:tcW w:w="1270" w:type="dxa"/>
          </w:tcPr>
          <w:p w14:paraId="533D44EA" w14:textId="77777777" w:rsidR="00F62D25" w:rsidRPr="00F62D25" w:rsidRDefault="00F62D25" w:rsidP="00F62D25">
            <w:pPr>
              <w:spacing w:after="160" w:line="259" w:lineRule="auto"/>
              <w:rPr>
                <w:rFonts w:ascii="Palatino Linotype" w:hAnsi="Palatino Linotype"/>
              </w:rPr>
            </w:pPr>
            <w:r w:rsidRPr="00F62D25">
              <w:rPr>
                <w:rFonts w:ascii="Palatino Linotype" w:hAnsi="Palatino Linotype"/>
              </w:rPr>
              <w:t>5</w:t>
            </w:r>
          </w:p>
        </w:tc>
      </w:tr>
    </w:tbl>
    <w:p w14:paraId="2DB37AD3" w14:textId="77777777" w:rsidR="00C47F11" w:rsidRPr="00F62D25" w:rsidRDefault="00C47F11">
      <w:pPr>
        <w:rPr>
          <w:rFonts w:ascii="Palatino Linotype" w:hAnsi="Palatino Linotype"/>
        </w:rPr>
      </w:pPr>
    </w:p>
    <w:sectPr w:rsidR="00C47F11" w:rsidRPr="00F62D25" w:rsidSect="00B16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E5343"/>
    <w:multiLevelType w:val="hybridMultilevel"/>
    <w:tmpl w:val="E304CD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BFC499B"/>
    <w:multiLevelType w:val="hybridMultilevel"/>
    <w:tmpl w:val="2F88E87E"/>
    <w:lvl w:ilvl="0" w:tplc="CF4663EE">
      <w:start w:val="1"/>
      <w:numFmt w:val="bullet"/>
      <w:lvlText w:val="-"/>
      <w:lvlJc w:val="left"/>
      <w:pPr>
        <w:ind w:left="717" w:hanging="360"/>
      </w:pPr>
      <w:rPr>
        <w:rFonts w:ascii="Georgia" w:eastAsia="Times New Roman" w:hAnsi="Georgia" w:cs="Times New Roman"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num w:numId="1" w16cid:durableId="1784105006">
    <w:abstractNumId w:val="0"/>
  </w:num>
  <w:num w:numId="2" w16cid:durableId="139881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25"/>
    <w:rsid w:val="000A3E87"/>
    <w:rsid w:val="008A24C7"/>
    <w:rsid w:val="009032BE"/>
    <w:rsid w:val="00B13D2A"/>
    <w:rsid w:val="00B1641C"/>
    <w:rsid w:val="00BC3517"/>
    <w:rsid w:val="00C47F11"/>
    <w:rsid w:val="00C96B7D"/>
    <w:rsid w:val="00D433F4"/>
    <w:rsid w:val="00F31661"/>
    <w:rsid w:val="00F62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8DA0"/>
  <w15:chartTrackingRefBased/>
  <w15:docId w15:val="{84B8357C-9843-49D9-8CAA-CAD90366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F6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62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562</Words>
  <Characters>3263</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Aros</dc:creator>
  <cp:keywords/>
  <dc:description/>
  <cp:lastModifiedBy>Maris Aros</cp:lastModifiedBy>
  <cp:revision>8</cp:revision>
  <dcterms:created xsi:type="dcterms:W3CDTF">2022-12-13T09:02:00Z</dcterms:created>
  <dcterms:modified xsi:type="dcterms:W3CDTF">2022-12-13T11:49:00Z</dcterms:modified>
</cp:coreProperties>
</file>